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FB6" w:rsidRDefault="008B2FB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825C6" w:rsidRPr="007825C6" w:rsidRDefault="001B2075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БАВР</w:t>
      </w:r>
      <w:r w:rsidR="002760A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– блок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автоматического ввода резерва</w:t>
      </w:r>
    </w:p>
    <w:p w:rsidR="007825C6" w:rsidRDefault="007825C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E7112" w:rsidRDefault="00FA2D06" w:rsidP="00FA2D0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2394100" cy="2235200"/>
            <wp:effectExtent l="19050" t="0" r="6200" b="0"/>
            <wp:docPr id="2" name="Рисунок 1" descr="C:\Users\Bauchenkov\Desktop\Новый сайт\Каталог продукции - ЩУ-ЧЭ\БАВР си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uchenkov\Desktop\Новый сайт\Каталог продукции - ЩУ-ЧЭ\БАВР сил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5831" t="10220" r="61224" b="47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100" cy="223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E00" w:rsidRDefault="00945E00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E7112" w:rsidRPr="007825C6" w:rsidRDefault="00166E73" w:rsidP="009E711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Условное обозначение блоков Б</w:t>
      </w:r>
      <w:r w:rsidR="001B2075">
        <w:rPr>
          <w:rFonts w:ascii="Times New Roman" w:hAnsi="Times New Roman" w:cs="Times New Roman"/>
          <w:b/>
          <w:i/>
          <w:sz w:val="24"/>
          <w:szCs w:val="24"/>
          <w:u w:val="single"/>
        </w:rPr>
        <w:t>АВР</w:t>
      </w:r>
      <w:r w:rsidR="009D68C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9E711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</w:p>
    <w:p w:rsidR="009E7112" w:rsidRPr="00CA46EF" w:rsidRDefault="009E7112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A2D69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Состоит из постоянной основной части (тип и типоразмер) и указателей опций, которые добавляются только при необходимости.</w:t>
      </w:r>
    </w:p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9D68C5" w:rsidRDefault="001B2075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БАВР</w:t>
      </w:r>
      <w:r w:rsidR="009D68C5" w:rsidRPr="009D68C5">
        <w:rPr>
          <w:rFonts w:ascii="Times New Roman" w:hAnsi="Times New Roman" w:cs="Times New Roman"/>
          <w:b/>
          <w:sz w:val="24"/>
          <w:szCs w:val="24"/>
        </w:rPr>
        <w:t xml:space="preserve"> – блок </w:t>
      </w:r>
      <w:r>
        <w:rPr>
          <w:rFonts w:ascii="Times New Roman" w:hAnsi="Times New Roman" w:cs="Times New Roman"/>
          <w:b/>
          <w:sz w:val="24"/>
          <w:szCs w:val="24"/>
        </w:rPr>
        <w:t>автоматического ввода резерва</w:t>
      </w:r>
      <w:r w:rsidR="009D68C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228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84"/>
        <w:gridCol w:w="5478"/>
        <w:gridCol w:w="2977"/>
        <w:gridCol w:w="1843"/>
      </w:tblGrid>
      <w:tr w:rsidR="0097256A" w:rsidRPr="00EE7CD6" w:rsidTr="001C1C0A">
        <w:trPr>
          <w:trHeight w:val="339"/>
        </w:trPr>
        <w:tc>
          <w:tcPr>
            <w:tcW w:w="1984" w:type="dxa"/>
            <w:tcBorders>
              <w:top w:val="nil"/>
              <w:left w:val="nil"/>
            </w:tcBorders>
            <w:shd w:val="clear" w:color="auto" w:fill="B8CCE4" w:themeFill="accent1" w:themeFillTint="66"/>
            <w:vAlign w:val="center"/>
          </w:tcPr>
          <w:p w:rsidR="0097256A" w:rsidRPr="00602B84" w:rsidRDefault="0097256A" w:rsidP="001C1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Обозначение</w:t>
            </w:r>
          </w:p>
        </w:tc>
        <w:tc>
          <w:tcPr>
            <w:tcW w:w="5478" w:type="dxa"/>
            <w:tcBorders>
              <w:top w:val="nil"/>
              <w:right w:val="nil"/>
            </w:tcBorders>
            <w:shd w:val="clear" w:color="auto" w:fill="B8CCE4" w:themeFill="accent1" w:themeFillTint="66"/>
            <w:vAlign w:val="center"/>
          </w:tcPr>
          <w:p w:rsidR="0097256A" w:rsidRPr="00602B84" w:rsidRDefault="0097256A" w:rsidP="001C1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Описание</w:t>
            </w:r>
          </w:p>
        </w:tc>
        <w:tc>
          <w:tcPr>
            <w:tcW w:w="4820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:rsidR="0097256A" w:rsidRPr="00602B84" w:rsidRDefault="0097256A" w:rsidP="00C86E4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97256A" w:rsidTr="001C1C0A">
        <w:trPr>
          <w:trHeight w:val="625"/>
        </w:trPr>
        <w:tc>
          <w:tcPr>
            <w:tcW w:w="1984" w:type="dxa"/>
            <w:tcBorders>
              <w:left w:val="nil"/>
              <w:bottom w:val="single" w:sz="4" w:space="0" w:color="auto"/>
            </w:tcBorders>
            <w:vAlign w:val="center"/>
          </w:tcPr>
          <w:p w:rsidR="0097256A" w:rsidRPr="001C1C0A" w:rsidRDefault="001B2075" w:rsidP="00C86E47">
            <w:pPr>
              <w:spacing w:after="0" w:line="240" w:lineRule="auto"/>
              <w:ind w:left="-1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БАВР</w:t>
            </w:r>
            <w:r w:rsidR="0097256A" w:rsidRPr="001C1C0A">
              <w:rPr>
                <w:rFonts w:ascii="Times New Roman" w:hAnsi="Times New Roman" w:cs="Times New Roman"/>
                <w:b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478" w:type="dxa"/>
            <w:tcBorders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:rsidR="0097256A" w:rsidRPr="001C1C0A" w:rsidRDefault="0097256A" w:rsidP="00C86E4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C1C0A">
              <w:rPr>
                <w:rFonts w:ascii="Times New Roman" w:hAnsi="Times New Roman" w:cs="Times New Roman"/>
                <w:b/>
                <w:sz w:val="18"/>
                <w:szCs w:val="18"/>
              </w:rPr>
              <w:t>Тип и типоразмер блока:</w:t>
            </w:r>
          </w:p>
          <w:p w:rsidR="001C1C0A" w:rsidRDefault="0097256A" w:rsidP="0097256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Типоразмер определяется по таблице </w:t>
            </w:r>
          </w:p>
          <w:p w:rsidR="0097256A" w:rsidRPr="00343F06" w:rsidRDefault="0097256A" w:rsidP="001B207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«Типоразмеры блоков </w:t>
            </w:r>
            <w:r w:rsidR="001B2075">
              <w:rPr>
                <w:rFonts w:ascii="Times New Roman" w:hAnsi="Times New Roman" w:cs="Times New Roman"/>
                <w:sz w:val="18"/>
                <w:szCs w:val="18"/>
              </w:rPr>
              <w:t>АВР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щита ЩУ-ЧЭ»</w:t>
            </w:r>
          </w:p>
        </w:tc>
        <w:tc>
          <w:tcPr>
            <w:tcW w:w="4820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97256A" w:rsidRPr="0097256A" w:rsidRDefault="0097256A" w:rsidP="00C86E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1C0A" w:rsidTr="001C1C0A">
        <w:trPr>
          <w:trHeight w:val="470"/>
        </w:trPr>
        <w:tc>
          <w:tcPr>
            <w:tcW w:w="1984" w:type="dxa"/>
            <w:tcBorders>
              <w:left w:val="nil"/>
            </w:tcBorders>
            <w:vAlign w:val="center"/>
          </w:tcPr>
          <w:p w:rsidR="001C1C0A" w:rsidRPr="00602B84" w:rsidRDefault="001B2075" w:rsidP="001B2075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БАВР-02</w:t>
            </w:r>
            <w:r w:rsidR="001C1C0A" w:rsidRPr="001B207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1B2075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478" w:type="dxa"/>
            <w:tcBorders>
              <w:right w:val="nil"/>
            </w:tcBorders>
            <w:shd w:val="clear" w:color="auto" w:fill="B8CCE4" w:themeFill="accent1" w:themeFillTint="66"/>
            <w:vAlign w:val="center"/>
          </w:tcPr>
          <w:p w:rsidR="001C1C0A" w:rsidRPr="001C1C0A" w:rsidRDefault="001C1C0A" w:rsidP="00C86E4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C1C0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(опция) </w:t>
            </w:r>
            <w:r w:rsidR="001B2075">
              <w:rPr>
                <w:rFonts w:ascii="Times New Roman" w:hAnsi="Times New Roman" w:cs="Times New Roman"/>
                <w:b/>
                <w:sz w:val="18"/>
                <w:szCs w:val="18"/>
              </w:rPr>
              <w:t>Контроль обоих вводов</w:t>
            </w:r>
            <w:r w:rsidRPr="001C1C0A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1C1C0A" w:rsidRPr="00343F06" w:rsidRDefault="001C1C0A" w:rsidP="001B207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исполнение </w:t>
            </w:r>
            <w:r w:rsidR="001B2075">
              <w:rPr>
                <w:rFonts w:ascii="Times New Roman" w:hAnsi="Times New Roman" w:cs="Times New Roman"/>
                <w:sz w:val="18"/>
                <w:szCs w:val="18"/>
              </w:rPr>
              <w:t>с контролем напряжения на обоих вводах</w:t>
            </w:r>
          </w:p>
        </w:tc>
        <w:tc>
          <w:tcPr>
            <w:tcW w:w="4820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C1C0A" w:rsidRPr="00343F06" w:rsidRDefault="001C1C0A" w:rsidP="00C86E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B2075" w:rsidTr="001B2075">
        <w:trPr>
          <w:gridAfter w:val="1"/>
          <w:wAfter w:w="1843" w:type="dxa"/>
          <w:trHeight w:val="230"/>
        </w:trPr>
        <w:tc>
          <w:tcPr>
            <w:tcW w:w="1984" w:type="dxa"/>
            <w:vMerge w:val="restart"/>
            <w:tcBorders>
              <w:left w:val="nil"/>
              <w:bottom w:val="single" w:sz="4" w:space="0" w:color="auto"/>
            </w:tcBorders>
            <w:vAlign w:val="center"/>
          </w:tcPr>
          <w:p w:rsidR="001B2075" w:rsidRPr="00602B84" w:rsidRDefault="001B2075" w:rsidP="001B2075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БАВР-02</w:t>
            </w:r>
            <w:r w:rsidRPr="001B2075">
              <w:rPr>
                <w:rFonts w:ascii="Times New Roman" w:hAnsi="Times New Roman" w:cs="Times New Roman"/>
                <w:b/>
                <w:sz w:val="20"/>
                <w:szCs w:val="20"/>
              </w:rPr>
              <w:t>-1Ф</w:t>
            </w:r>
          </w:p>
        </w:tc>
        <w:tc>
          <w:tcPr>
            <w:tcW w:w="5478" w:type="dxa"/>
            <w:vMerge w:val="restart"/>
            <w:tcBorders>
              <w:bottom w:val="single" w:sz="4" w:space="0" w:color="auto"/>
              <w:right w:val="nil"/>
            </w:tcBorders>
            <w:shd w:val="clear" w:color="auto" w:fill="B8CCE4" w:themeFill="accent1" w:themeFillTint="66"/>
            <w:vAlign w:val="center"/>
          </w:tcPr>
          <w:p w:rsidR="001B2075" w:rsidRPr="001C1C0A" w:rsidRDefault="001B2075" w:rsidP="00C86E47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C1C0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(опция) </w:t>
            </w:r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Однофазный</w:t>
            </w:r>
            <w:proofErr w:type="gramEnd"/>
            <w:r w:rsidRPr="001C1C0A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1B2075" w:rsidRPr="00343F06" w:rsidRDefault="001B2075" w:rsidP="001B207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Исполнение для питания однофазной нагрузки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B2075" w:rsidRPr="00343F06" w:rsidRDefault="001B2075" w:rsidP="00C86E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1C0A" w:rsidTr="001C1C0A">
        <w:trPr>
          <w:gridAfter w:val="2"/>
          <w:wAfter w:w="4820" w:type="dxa"/>
          <w:trHeight w:val="230"/>
        </w:trPr>
        <w:tc>
          <w:tcPr>
            <w:tcW w:w="1984" w:type="dxa"/>
            <w:vMerge/>
            <w:tcBorders>
              <w:left w:val="nil"/>
              <w:bottom w:val="nil"/>
            </w:tcBorders>
            <w:vAlign w:val="center"/>
          </w:tcPr>
          <w:p w:rsidR="001C1C0A" w:rsidRPr="00602B84" w:rsidRDefault="001C1C0A" w:rsidP="00C86E47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8" w:type="dxa"/>
            <w:vMerge/>
            <w:tcBorders>
              <w:bottom w:val="nil"/>
              <w:right w:val="nil"/>
            </w:tcBorders>
            <w:shd w:val="clear" w:color="auto" w:fill="B8CCE4" w:themeFill="accent1" w:themeFillTint="66"/>
            <w:vAlign w:val="center"/>
          </w:tcPr>
          <w:p w:rsidR="001C1C0A" w:rsidRDefault="001C1C0A" w:rsidP="00C86E4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9D68C5" w:rsidRPr="007825C6" w:rsidRDefault="00612EF5" w:rsidP="009D68C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Возможные и</w:t>
      </w:r>
      <w:r w:rsidR="009D68C5">
        <w:rPr>
          <w:rFonts w:ascii="Times New Roman" w:hAnsi="Times New Roman" w:cs="Times New Roman"/>
          <w:b/>
          <w:i/>
          <w:sz w:val="24"/>
          <w:szCs w:val="24"/>
          <w:u w:val="single"/>
        </w:rPr>
        <w:t>сполнения блоков Б</w:t>
      </w:r>
      <w:r w:rsidR="001B2075">
        <w:rPr>
          <w:rFonts w:ascii="Times New Roman" w:hAnsi="Times New Roman" w:cs="Times New Roman"/>
          <w:b/>
          <w:i/>
          <w:sz w:val="24"/>
          <w:szCs w:val="24"/>
          <w:u w:val="single"/>
        </w:rPr>
        <w:t>АВР</w:t>
      </w:r>
      <w:r w:rsidR="009D68C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</w:t>
      </w:r>
    </w:p>
    <w:p w:rsidR="009D68C5" w:rsidRDefault="009D68C5" w:rsidP="009E711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9D68C5" w:rsidRDefault="001B2075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БАВР</w:t>
      </w:r>
      <w:r w:rsidR="009D68C5">
        <w:rPr>
          <w:rFonts w:ascii="Times New Roman" w:hAnsi="Times New Roman" w:cs="Times New Roman"/>
          <w:b/>
          <w:sz w:val="24"/>
          <w:szCs w:val="24"/>
        </w:rPr>
        <w:t>-хх</w:t>
      </w:r>
      <w:proofErr w:type="spellEnd"/>
      <w:r w:rsidR="009D68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68C5" w:rsidRPr="009D68C5">
        <w:rPr>
          <w:rFonts w:ascii="Times New Roman" w:hAnsi="Times New Roman" w:cs="Times New Roman"/>
          <w:sz w:val="24"/>
          <w:szCs w:val="24"/>
        </w:rPr>
        <w:t>(основное исполнение)</w:t>
      </w:r>
      <w:r w:rsidR="009D68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68C5" w:rsidRDefault="001B2075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БАВР</w:t>
      </w:r>
      <w:r w:rsidR="009D68C5" w:rsidRPr="009D68C5">
        <w:rPr>
          <w:rFonts w:ascii="Times New Roman" w:hAnsi="Times New Roman" w:cs="Times New Roman"/>
          <w:b/>
          <w:sz w:val="24"/>
          <w:szCs w:val="24"/>
        </w:rPr>
        <w:t>-хх-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9D68C5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контроль обоих вводов</w:t>
      </w:r>
      <w:r w:rsidR="009D68C5">
        <w:rPr>
          <w:rFonts w:ascii="Times New Roman" w:hAnsi="Times New Roman" w:cs="Times New Roman"/>
          <w:sz w:val="24"/>
          <w:szCs w:val="24"/>
        </w:rPr>
        <w:t>)</w:t>
      </w:r>
    </w:p>
    <w:p w:rsidR="009D68C5" w:rsidRDefault="001B2075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БАВР</w:t>
      </w:r>
      <w:r w:rsidR="009D68C5" w:rsidRPr="009D68C5">
        <w:rPr>
          <w:rFonts w:ascii="Times New Roman" w:hAnsi="Times New Roman" w:cs="Times New Roman"/>
          <w:b/>
          <w:sz w:val="24"/>
          <w:szCs w:val="24"/>
        </w:rPr>
        <w:t>-хх-1Ф</w:t>
      </w:r>
      <w:r w:rsidR="009D68C5">
        <w:rPr>
          <w:rFonts w:ascii="Times New Roman" w:hAnsi="Times New Roman" w:cs="Times New Roman"/>
          <w:sz w:val="24"/>
          <w:szCs w:val="24"/>
        </w:rPr>
        <w:t xml:space="preserve"> (однофазный)</w:t>
      </w:r>
    </w:p>
    <w:p w:rsidR="00B579B5" w:rsidRDefault="00B579B5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00BF" w:rsidRDefault="001100BF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075" w:rsidRDefault="00FA2D06" w:rsidP="00945E00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556000" cy="2584450"/>
            <wp:effectExtent l="19050" t="0" r="6350" b="0"/>
            <wp:docPr id="3" name="Рисунок 2" descr="C:\Users\Bauchenkov\Desktop\Новый сайт\Каталог продукции - ЩУ-ЧЭ\БАВР сх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auchenkov\Desktop\Новый сайт\Каталог продукции - ЩУ-ЧЭ\БАВР схем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7680" r="6298" b="14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0" cy="258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2075" w:rsidRDefault="001B2075" w:rsidP="00945E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0C3D" w:rsidRPr="009E7112" w:rsidRDefault="00190C3D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6BDE" w:rsidRDefault="00196BDE" w:rsidP="00196B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96BDE" w:rsidRDefault="00945E00" w:rsidP="00945E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E00">
        <w:rPr>
          <w:rFonts w:ascii="Times New Roman" w:hAnsi="Times New Roman" w:cs="Times New Roman"/>
          <w:b/>
          <w:sz w:val="24"/>
          <w:szCs w:val="24"/>
        </w:rPr>
        <w:lastRenderedPageBreak/>
        <w:t>Типоразме</w:t>
      </w:r>
      <w:r w:rsidR="00A050BC">
        <w:rPr>
          <w:rFonts w:ascii="Times New Roman" w:hAnsi="Times New Roman" w:cs="Times New Roman"/>
          <w:b/>
          <w:sz w:val="24"/>
          <w:szCs w:val="24"/>
        </w:rPr>
        <w:t xml:space="preserve">ры блоков </w:t>
      </w:r>
      <w:r w:rsidR="001B2075">
        <w:rPr>
          <w:rFonts w:ascii="Times New Roman" w:hAnsi="Times New Roman" w:cs="Times New Roman"/>
          <w:b/>
          <w:sz w:val="24"/>
          <w:szCs w:val="24"/>
        </w:rPr>
        <w:t>АВР щита ЩУ-ЧЭ</w:t>
      </w:r>
    </w:p>
    <w:p w:rsidR="00945E00" w:rsidRDefault="00945E00" w:rsidP="00945E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4273" w:type="dxa"/>
        <w:tblInd w:w="3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08"/>
        <w:gridCol w:w="1494"/>
        <w:gridCol w:w="1471"/>
      </w:tblGrid>
      <w:tr w:rsidR="00E213FF" w:rsidRPr="000E34A6" w:rsidTr="00E213FF">
        <w:trPr>
          <w:trHeight w:val="910"/>
        </w:trPr>
        <w:tc>
          <w:tcPr>
            <w:tcW w:w="1308" w:type="dxa"/>
            <w:tcBorders>
              <w:top w:val="nil"/>
              <w:left w:val="nil"/>
            </w:tcBorders>
            <w:shd w:val="clear" w:color="auto" w:fill="B8CCE4" w:themeFill="accent1" w:themeFillTint="66"/>
            <w:vAlign w:val="center"/>
          </w:tcPr>
          <w:p w:rsidR="00E213FF" w:rsidRPr="000E34A6" w:rsidRDefault="00E213FF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Типоразмер блока управления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БАВР</w:t>
            </w:r>
          </w:p>
        </w:tc>
        <w:tc>
          <w:tcPr>
            <w:tcW w:w="1494" w:type="dxa"/>
            <w:tcBorders>
              <w:top w:val="nil"/>
            </w:tcBorders>
            <w:shd w:val="clear" w:color="auto" w:fill="B8CCE4" w:themeFill="accent1" w:themeFillTint="66"/>
            <w:vAlign w:val="center"/>
          </w:tcPr>
          <w:p w:rsidR="00E213FF" w:rsidRPr="000E34A6" w:rsidRDefault="00E213FF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Ном</w:t>
            </w:r>
            <w:proofErr w:type="gramStart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proofErr w:type="gramEnd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  <w:proofErr w:type="gramEnd"/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ок, А</w:t>
            </w:r>
          </w:p>
        </w:tc>
        <w:tc>
          <w:tcPr>
            <w:tcW w:w="1471" w:type="dxa"/>
            <w:tcBorders>
              <w:top w:val="nil"/>
              <w:right w:val="nil"/>
            </w:tcBorders>
            <w:shd w:val="clear" w:color="auto" w:fill="B8CCE4" w:themeFill="accent1" w:themeFillTint="66"/>
            <w:vAlign w:val="center"/>
          </w:tcPr>
          <w:p w:rsidR="00E213FF" w:rsidRPr="000E34A6" w:rsidRDefault="00E213FF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Автомат в РШУ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(2)</w:t>
            </w:r>
          </w:p>
        </w:tc>
      </w:tr>
      <w:tr w:rsidR="001B2075" w:rsidRPr="00945E00" w:rsidTr="00E213FF">
        <w:trPr>
          <w:trHeight w:val="299"/>
        </w:trPr>
        <w:tc>
          <w:tcPr>
            <w:tcW w:w="1308" w:type="dxa"/>
            <w:tcBorders>
              <w:left w:val="nil"/>
            </w:tcBorders>
            <w:vAlign w:val="center"/>
          </w:tcPr>
          <w:p w:rsidR="001B2075" w:rsidRPr="000E34A6" w:rsidRDefault="001B2075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94" w:type="dxa"/>
            <w:vAlign w:val="center"/>
          </w:tcPr>
          <w:p w:rsidR="001B2075" w:rsidRPr="00945E00" w:rsidRDefault="001B2075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71" w:type="dxa"/>
            <w:tcBorders>
              <w:right w:val="nil"/>
            </w:tcBorders>
            <w:shd w:val="clear" w:color="auto" w:fill="B8CCE4" w:themeFill="accent1" w:themeFillTint="66"/>
            <w:vAlign w:val="center"/>
          </w:tcPr>
          <w:p w:rsidR="001B2075" w:rsidRPr="00945E00" w:rsidRDefault="001B2075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С16</w:t>
            </w:r>
          </w:p>
        </w:tc>
      </w:tr>
      <w:tr w:rsidR="001B2075" w:rsidRPr="00945E00" w:rsidTr="00E213FF">
        <w:trPr>
          <w:trHeight w:val="275"/>
        </w:trPr>
        <w:tc>
          <w:tcPr>
            <w:tcW w:w="1308" w:type="dxa"/>
            <w:tcBorders>
              <w:left w:val="nil"/>
            </w:tcBorders>
            <w:vAlign w:val="center"/>
          </w:tcPr>
          <w:p w:rsidR="001B2075" w:rsidRPr="000E34A6" w:rsidRDefault="001B2075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94" w:type="dxa"/>
            <w:vAlign w:val="center"/>
          </w:tcPr>
          <w:p w:rsidR="001B2075" w:rsidRPr="00945E00" w:rsidRDefault="001B2075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471" w:type="dxa"/>
            <w:tcBorders>
              <w:right w:val="nil"/>
            </w:tcBorders>
            <w:shd w:val="clear" w:color="auto" w:fill="B8CCE4" w:themeFill="accent1" w:themeFillTint="66"/>
            <w:vAlign w:val="center"/>
          </w:tcPr>
          <w:p w:rsidR="001B2075" w:rsidRPr="00945E00" w:rsidRDefault="001B2075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С25</w:t>
            </w:r>
          </w:p>
        </w:tc>
      </w:tr>
      <w:tr w:rsidR="001B2075" w:rsidRPr="00945E00" w:rsidTr="00E213FF">
        <w:trPr>
          <w:trHeight w:val="266"/>
        </w:trPr>
        <w:tc>
          <w:tcPr>
            <w:tcW w:w="1308" w:type="dxa"/>
            <w:tcBorders>
              <w:left w:val="nil"/>
            </w:tcBorders>
            <w:vAlign w:val="center"/>
          </w:tcPr>
          <w:p w:rsidR="001B2075" w:rsidRPr="000E34A6" w:rsidRDefault="001B2075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94" w:type="dxa"/>
            <w:vAlign w:val="center"/>
          </w:tcPr>
          <w:p w:rsidR="001B2075" w:rsidRPr="00945E00" w:rsidRDefault="001B2075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471" w:type="dxa"/>
            <w:tcBorders>
              <w:right w:val="nil"/>
            </w:tcBorders>
            <w:shd w:val="clear" w:color="auto" w:fill="B8CCE4" w:themeFill="accent1" w:themeFillTint="66"/>
            <w:vAlign w:val="center"/>
          </w:tcPr>
          <w:p w:rsidR="001B2075" w:rsidRPr="00945E00" w:rsidRDefault="001B2075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С40</w:t>
            </w:r>
          </w:p>
        </w:tc>
      </w:tr>
      <w:tr w:rsidR="001B2075" w:rsidRPr="00945E00" w:rsidTr="00E213FF">
        <w:trPr>
          <w:trHeight w:val="283"/>
        </w:trPr>
        <w:tc>
          <w:tcPr>
            <w:tcW w:w="1308" w:type="dxa"/>
            <w:tcBorders>
              <w:left w:val="nil"/>
            </w:tcBorders>
            <w:vAlign w:val="center"/>
          </w:tcPr>
          <w:p w:rsidR="001B2075" w:rsidRPr="000E34A6" w:rsidRDefault="001B2075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94" w:type="dxa"/>
            <w:vAlign w:val="center"/>
          </w:tcPr>
          <w:p w:rsidR="001B2075" w:rsidRPr="00945E00" w:rsidRDefault="001B2075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471" w:type="dxa"/>
            <w:tcBorders>
              <w:right w:val="nil"/>
            </w:tcBorders>
            <w:shd w:val="clear" w:color="auto" w:fill="B8CCE4" w:themeFill="accent1" w:themeFillTint="66"/>
            <w:vAlign w:val="center"/>
          </w:tcPr>
          <w:p w:rsidR="001B2075" w:rsidRPr="00945E00" w:rsidRDefault="001B2075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С63</w:t>
            </w:r>
          </w:p>
        </w:tc>
      </w:tr>
      <w:tr w:rsidR="001B2075" w:rsidRPr="00945E00" w:rsidTr="00E213FF">
        <w:trPr>
          <w:trHeight w:val="272"/>
        </w:trPr>
        <w:tc>
          <w:tcPr>
            <w:tcW w:w="1308" w:type="dxa"/>
            <w:tcBorders>
              <w:left w:val="nil"/>
              <w:bottom w:val="nil"/>
            </w:tcBorders>
            <w:vAlign w:val="center"/>
          </w:tcPr>
          <w:p w:rsidR="001B2075" w:rsidRPr="000E34A6" w:rsidRDefault="001B2075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0E34A6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494" w:type="dxa"/>
            <w:tcBorders>
              <w:bottom w:val="nil"/>
            </w:tcBorders>
            <w:vAlign w:val="center"/>
          </w:tcPr>
          <w:p w:rsidR="001B2075" w:rsidRPr="00945E00" w:rsidRDefault="001B2075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1" w:type="dxa"/>
            <w:tcBorders>
              <w:bottom w:val="nil"/>
              <w:right w:val="nil"/>
            </w:tcBorders>
            <w:shd w:val="clear" w:color="auto" w:fill="B8CCE4" w:themeFill="accent1" w:themeFillTint="66"/>
            <w:vAlign w:val="center"/>
          </w:tcPr>
          <w:p w:rsidR="001B2075" w:rsidRPr="00945E00" w:rsidRDefault="001B2075" w:rsidP="00945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С100</w:t>
            </w:r>
          </w:p>
        </w:tc>
      </w:tr>
    </w:tbl>
    <w:p w:rsidR="00945E00" w:rsidRPr="00945E00" w:rsidRDefault="00E213FF" w:rsidP="00945E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945E00" w:rsidRPr="00945E00" w:rsidSect="000D0FB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428B"/>
    <w:multiLevelType w:val="hybridMultilevel"/>
    <w:tmpl w:val="000026A6"/>
    <w:lvl w:ilvl="0" w:tplc="0000701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6F157FE"/>
    <w:multiLevelType w:val="hybridMultilevel"/>
    <w:tmpl w:val="CBF27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893BDE"/>
    <w:multiLevelType w:val="hybridMultilevel"/>
    <w:tmpl w:val="E63E74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E7741DF"/>
    <w:multiLevelType w:val="hybridMultilevel"/>
    <w:tmpl w:val="B4B4ED46"/>
    <w:lvl w:ilvl="0" w:tplc="04190001">
      <w:start w:val="1"/>
      <w:numFmt w:val="bullet"/>
      <w:lvlText w:val=""/>
      <w:lvlJc w:val="left"/>
      <w:pPr>
        <w:ind w:left="15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0" w:hanging="360"/>
      </w:pPr>
      <w:rPr>
        <w:rFonts w:ascii="Wingdings" w:hAnsi="Wingdings" w:hint="default"/>
      </w:rPr>
    </w:lvl>
  </w:abstractNum>
  <w:abstractNum w:abstractNumId="5">
    <w:nsid w:val="2E774611"/>
    <w:multiLevelType w:val="hybridMultilevel"/>
    <w:tmpl w:val="B7303D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A9D2FD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5CDC3130"/>
    <w:multiLevelType w:val="hybridMultilevel"/>
    <w:tmpl w:val="E17CE8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1710447"/>
    <w:multiLevelType w:val="hybridMultilevel"/>
    <w:tmpl w:val="6E1806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62F75DC9"/>
    <w:multiLevelType w:val="hybridMultilevel"/>
    <w:tmpl w:val="081443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5303DA0"/>
    <w:multiLevelType w:val="hybridMultilevel"/>
    <w:tmpl w:val="B052CC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6895A22"/>
    <w:multiLevelType w:val="hybridMultilevel"/>
    <w:tmpl w:val="08F2A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B485790"/>
    <w:multiLevelType w:val="hybridMultilevel"/>
    <w:tmpl w:val="FEEEAC74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>
    <w:nsid w:val="7D9B7A3D"/>
    <w:multiLevelType w:val="multilevel"/>
    <w:tmpl w:val="91D89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8"/>
  </w:num>
  <w:num w:numId="5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 w:val="0"/>
          <w:i w:val="0"/>
          <w:u w:val="none"/>
        </w:rPr>
      </w:lvl>
    </w:lvlOverride>
  </w:num>
  <w:num w:numId="6">
    <w:abstractNumId w:val="12"/>
  </w:num>
  <w:num w:numId="7">
    <w:abstractNumId w:val="6"/>
  </w:num>
  <w:num w:numId="8">
    <w:abstractNumId w:val="9"/>
  </w:num>
  <w:num w:numId="9">
    <w:abstractNumId w:val="11"/>
  </w:num>
  <w:num w:numId="10">
    <w:abstractNumId w:val="7"/>
  </w:num>
  <w:num w:numId="11">
    <w:abstractNumId w:val="5"/>
  </w:num>
  <w:num w:numId="12">
    <w:abstractNumId w:val="4"/>
  </w:num>
  <w:num w:numId="13">
    <w:abstractNumId w:val="10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871E9"/>
    <w:rsid w:val="00055D21"/>
    <w:rsid w:val="000845E9"/>
    <w:rsid w:val="000D0FBB"/>
    <w:rsid w:val="000E3195"/>
    <w:rsid w:val="000E34A6"/>
    <w:rsid w:val="000F7F01"/>
    <w:rsid w:val="001100BF"/>
    <w:rsid w:val="0014558F"/>
    <w:rsid w:val="00166E73"/>
    <w:rsid w:val="0018307A"/>
    <w:rsid w:val="00190C3D"/>
    <w:rsid w:val="00196BDE"/>
    <w:rsid w:val="001B2075"/>
    <w:rsid w:val="001B492C"/>
    <w:rsid w:val="001C1C0A"/>
    <w:rsid w:val="00203D07"/>
    <w:rsid w:val="00205800"/>
    <w:rsid w:val="00242362"/>
    <w:rsid w:val="002760AC"/>
    <w:rsid w:val="002871E9"/>
    <w:rsid w:val="002D1086"/>
    <w:rsid w:val="00326112"/>
    <w:rsid w:val="003354B6"/>
    <w:rsid w:val="00343F06"/>
    <w:rsid w:val="00352345"/>
    <w:rsid w:val="00366F04"/>
    <w:rsid w:val="00394EC4"/>
    <w:rsid w:val="003A2825"/>
    <w:rsid w:val="003C47AB"/>
    <w:rsid w:val="004335BC"/>
    <w:rsid w:val="004B5FD8"/>
    <w:rsid w:val="005237FC"/>
    <w:rsid w:val="00546CB9"/>
    <w:rsid w:val="00573639"/>
    <w:rsid w:val="005A54BF"/>
    <w:rsid w:val="005C159D"/>
    <w:rsid w:val="005C1672"/>
    <w:rsid w:val="005E4C0E"/>
    <w:rsid w:val="005F40A4"/>
    <w:rsid w:val="005F61CA"/>
    <w:rsid w:val="00602B84"/>
    <w:rsid w:val="00604DC2"/>
    <w:rsid w:val="00612EF5"/>
    <w:rsid w:val="0061535E"/>
    <w:rsid w:val="006413CE"/>
    <w:rsid w:val="0065265B"/>
    <w:rsid w:val="006730C5"/>
    <w:rsid w:val="006C3D02"/>
    <w:rsid w:val="0072033D"/>
    <w:rsid w:val="00744404"/>
    <w:rsid w:val="007522C1"/>
    <w:rsid w:val="007825C6"/>
    <w:rsid w:val="007A2D69"/>
    <w:rsid w:val="00804672"/>
    <w:rsid w:val="008B2FB6"/>
    <w:rsid w:val="008E426D"/>
    <w:rsid w:val="008F78C4"/>
    <w:rsid w:val="00906D4B"/>
    <w:rsid w:val="009238A0"/>
    <w:rsid w:val="00945E00"/>
    <w:rsid w:val="009518DB"/>
    <w:rsid w:val="0097256A"/>
    <w:rsid w:val="009D68C5"/>
    <w:rsid w:val="009E43A4"/>
    <w:rsid w:val="009E619F"/>
    <w:rsid w:val="009E7112"/>
    <w:rsid w:val="00A050BC"/>
    <w:rsid w:val="00A16C9E"/>
    <w:rsid w:val="00A44374"/>
    <w:rsid w:val="00A81942"/>
    <w:rsid w:val="00A86D84"/>
    <w:rsid w:val="00AC7898"/>
    <w:rsid w:val="00AE6033"/>
    <w:rsid w:val="00B579B5"/>
    <w:rsid w:val="00B96F08"/>
    <w:rsid w:val="00BB53A9"/>
    <w:rsid w:val="00BB6D2A"/>
    <w:rsid w:val="00BF2C8C"/>
    <w:rsid w:val="00C034EF"/>
    <w:rsid w:val="00C1788C"/>
    <w:rsid w:val="00C94052"/>
    <w:rsid w:val="00CA08F4"/>
    <w:rsid w:val="00CA46EF"/>
    <w:rsid w:val="00CE6D1B"/>
    <w:rsid w:val="00D86A41"/>
    <w:rsid w:val="00D94500"/>
    <w:rsid w:val="00DB58F3"/>
    <w:rsid w:val="00DB5B83"/>
    <w:rsid w:val="00DC51CA"/>
    <w:rsid w:val="00E14889"/>
    <w:rsid w:val="00E213FF"/>
    <w:rsid w:val="00E86147"/>
    <w:rsid w:val="00EE7CD6"/>
    <w:rsid w:val="00F05B97"/>
    <w:rsid w:val="00F46D64"/>
    <w:rsid w:val="00F96018"/>
    <w:rsid w:val="00FA133F"/>
    <w:rsid w:val="00FA2D06"/>
    <w:rsid w:val="00FD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1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D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4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4672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DC51C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7">
    <w:name w:val="Название Знак"/>
    <w:basedOn w:val="a0"/>
    <w:link w:val="a6"/>
    <w:rsid w:val="00DC51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8">
    <w:name w:val="Body Text"/>
    <w:basedOn w:val="a"/>
    <w:link w:val="a9"/>
    <w:rsid w:val="00DC51C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DC51C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2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08765-EABD-48DD-ADA6-2E9E0C5C5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Bauchenkov</dc:creator>
  <cp:lastModifiedBy>Bauchenkov</cp:lastModifiedBy>
  <cp:revision>5</cp:revision>
  <dcterms:created xsi:type="dcterms:W3CDTF">2019-01-23T07:15:00Z</dcterms:created>
  <dcterms:modified xsi:type="dcterms:W3CDTF">2019-01-23T08:44:00Z</dcterms:modified>
</cp:coreProperties>
</file>