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CFC" w:rsidRDefault="00350CFC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825C6" w:rsidRPr="007825C6" w:rsidRDefault="0068490F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Главный распределительный щит ГРЩ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490F" w:rsidRPr="0068490F" w:rsidRDefault="0068490F" w:rsidP="0068490F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right="160" w:firstLine="708"/>
        <w:jc w:val="both"/>
        <w:rPr>
          <w:rFonts w:ascii="Times New Roman" w:hAnsi="Times New Roman"/>
          <w:sz w:val="24"/>
          <w:szCs w:val="24"/>
        </w:rPr>
      </w:pPr>
      <w:r w:rsidRPr="0068490F">
        <w:rPr>
          <w:rFonts w:ascii="Times New Roman" w:hAnsi="Times New Roman"/>
          <w:sz w:val="24"/>
          <w:szCs w:val="24"/>
        </w:rPr>
        <w:t>Главный распределительный щит ГРЩ - распределительный щит, через который снабжается электроэнергией все здание или его обособленная часть, и предназначенный для приема, распределения и учета электроэнергии напряжением 380/220</w:t>
      </w:r>
      <w:proofErr w:type="gramStart"/>
      <w:r w:rsidRPr="0068490F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68490F">
        <w:rPr>
          <w:rFonts w:ascii="Times New Roman" w:hAnsi="Times New Roman"/>
          <w:sz w:val="24"/>
          <w:szCs w:val="24"/>
        </w:rPr>
        <w:t xml:space="preserve"> трехфазного переменного тока частотой 50 Гц, резе</w:t>
      </w:r>
      <w:r>
        <w:rPr>
          <w:rFonts w:ascii="Times New Roman" w:hAnsi="Times New Roman"/>
          <w:sz w:val="24"/>
          <w:szCs w:val="24"/>
        </w:rPr>
        <w:t>рвирования питания потребителей,</w:t>
      </w:r>
      <w:r w:rsidRPr="006849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Pr="0068490F">
        <w:rPr>
          <w:rFonts w:ascii="Times New Roman" w:hAnsi="Times New Roman"/>
          <w:sz w:val="24"/>
          <w:szCs w:val="24"/>
        </w:rPr>
        <w:t>ащиты отходящих линий от перегрузок и токов короткого замыкания, а также для нечастых оперативных переключений.</w:t>
      </w:r>
    </w:p>
    <w:p w:rsidR="0068490F" w:rsidRPr="0068490F" w:rsidRDefault="0068490F" w:rsidP="0068490F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right="40" w:firstLine="708"/>
        <w:jc w:val="both"/>
        <w:rPr>
          <w:rFonts w:ascii="Times New Roman" w:hAnsi="Times New Roman"/>
          <w:sz w:val="24"/>
          <w:szCs w:val="24"/>
        </w:rPr>
      </w:pPr>
      <w:r w:rsidRPr="0068490F">
        <w:rPr>
          <w:rFonts w:ascii="Times New Roman" w:hAnsi="Times New Roman"/>
          <w:sz w:val="24"/>
          <w:szCs w:val="24"/>
        </w:rPr>
        <w:t>ГРЩ изготавливаются в соответствии с однолин</w:t>
      </w:r>
      <w:r>
        <w:rPr>
          <w:rFonts w:ascii="Times New Roman" w:hAnsi="Times New Roman"/>
          <w:sz w:val="24"/>
          <w:szCs w:val="24"/>
        </w:rPr>
        <w:t>ейной схемой (опросным листом) з</w:t>
      </w:r>
      <w:r w:rsidRPr="0068490F">
        <w:rPr>
          <w:rFonts w:ascii="Times New Roman" w:hAnsi="Times New Roman"/>
          <w:sz w:val="24"/>
          <w:szCs w:val="24"/>
        </w:rPr>
        <w:t>аказчика и могут выполняться с одним, двумя, тремя вводами. ГРЩ с одним вводом обычно состоит и</w:t>
      </w:r>
      <w:r>
        <w:rPr>
          <w:rFonts w:ascii="Times New Roman" w:hAnsi="Times New Roman"/>
          <w:sz w:val="24"/>
          <w:szCs w:val="24"/>
        </w:rPr>
        <w:t>з</w:t>
      </w:r>
      <w:r w:rsidRPr="0068490F">
        <w:rPr>
          <w:rFonts w:ascii="Times New Roman" w:hAnsi="Times New Roman"/>
          <w:sz w:val="24"/>
          <w:szCs w:val="24"/>
        </w:rPr>
        <w:t xml:space="preserve"> вводной и линейной панелей. ГРЩ с двумя и тремя вводами состоит из панелей ввода, линейных и секционных панелей.</w:t>
      </w:r>
    </w:p>
    <w:p w:rsidR="00CA46EF" w:rsidRPr="0068490F" w:rsidRDefault="0068490F" w:rsidP="006849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8490F">
        <w:rPr>
          <w:rFonts w:ascii="Times New Roman" w:hAnsi="Times New Roman"/>
          <w:sz w:val="24"/>
          <w:szCs w:val="24"/>
        </w:rPr>
        <w:t>По согласованию с Заказчиком предусматриваются кабельные или шинные вводы. Ввод может быть как сверху, так и снизу и может осуществляться как через секции, в которых установлены аппараты, так и через специальные секции, что удобно при одностороннем обслуживании.</w:t>
      </w:r>
    </w:p>
    <w:p w:rsidR="0068490F" w:rsidRDefault="0068490F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07E8D" w:rsidRDefault="0068490F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6034186" cy="3600450"/>
            <wp:effectExtent l="19050" t="0" r="4664" b="0"/>
            <wp:docPr id="1" name="Рисунок 1" descr="C:\Users\Bauchenkov\Desktop\Новый сайт\Каталог продукции - Силовые сборки\ГРЩ\ГРЩ1_общий вид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Силовые сборки\ГРЩ\ГРЩ1_общий вид (3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307" cy="3601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30A0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68490F" w:rsidRDefault="0068490F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68490F" w:rsidRDefault="00350CFC" w:rsidP="006849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Основные функции и состав</w:t>
      </w:r>
      <w:r w:rsidR="0068490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350CFC" w:rsidRPr="007825C6" w:rsidRDefault="00350CFC" w:rsidP="006849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350CFC" w:rsidRPr="00350CFC" w:rsidRDefault="00350CFC" w:rsidP="00350CFC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left="720" w:firstLine="69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0CFC">
        <w:rPr>
          <w:rFonts w:ascii="Times New Roman" w:hAnsi="Times New Roman" w:cs="Times New Roman"/>
          <w:sz w:val="24"/>
          <w:szCs w:val="24"/>
          <w:u w:val="single"/>
        </w:rPr>
        <w:t>Функциональные особенности: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7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ввод и распределение электрической энергии от ТП;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7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защита от однофазных и многофазных коротких замыканий;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7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коммерческий учет электроэнергии;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7"/>
        </w:numPr>
        <w:tabs>
          <w:tab w:val="clear" w:pos="720"/>
          <w:tab w:val="num" w:pos="993"/>
        </w:tabs>
        <w:overflowPunct w:val="0"/>
        <w:autoSpaceDE w:val="0"/>
        <w:autoSpaceDN w:val="0"/>
        <w:adjustRightInd w:val="0"/>
        <w:spacing w:after="0" w:line="240" w:lineRule="auto"/>
        <w:ind w:left="993" w:right="500" w:hanging="284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контроль электрических параметров на вводе (вводах) при помощи стрелочных измерительных приборов;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7"/>
        </w:numPr>
        <w:tabs>
          <w:tab w:val="clear" w:pos="720"/>
          <w:tab w:val="num" w:pos="993"/>
        </w:tabs>
        <w:overflowPunct w:val="0"/>
        <w:autoSpaceDE w:val="0"/>
        <w:autoSpaceDN w:val="0"/>
        <w:adjustRightInd w:val="0"/>
        <w:spacing w:after="0" w:line="240" w:lineRule="auto"/>
        <w:ind w:left="993" w:right="1660" w:hanging="284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екционирование сборных шин </w:t>
      </w:r>
      <w:r w:rsidRPr="00350CFC">
        <w:rPr>
          <w:rFonts w:ascii="Times New Roman" w:hAnsi="Times New Roman"/>
          <w:sz w:val="24"/>
          <w:szCs w:val="24"/>
        </w:rPr>
        <w:t xml:space="preserve">для обеспечения безопасности обслуживания;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7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вводные выключатели – выключатели нагрузки или автоматические выключатели;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7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автоматический ввод резерва (АВР) для щитов с двумя вводами;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7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>световая сигнализация рабочего/аварийного состояния системы</w:t>
      </w:r>
      <w:r>
        <w:rPr>
          <w:rFonts w:ascii="Times New Roman" w:hAnsi="Times New Roman"/>
          <w:sz w:val="24"/>
          <w:szCs w:val="24"/>
        </w:rPr>
        <w:t>;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9"/>
        </w:numPr>
        <w:tabs>
          <w:tab w:val="clear" w:pos="720"/>
          <w:tab w:val="num" w:pos="993"/>
        </w:tabs>
        <w:overflowPunct w:val="0"/>
        <w:autoSpaceDE w:val="0"/>
        <w:autoSpaceDN w:val="0"/>
        <w:adjustRightInd w:val="0"/>
        <w:spacing w:after="0" w:line="240" w:lineRule="auto"/>
        <w:ind w:left="993" w:right="1080" w:hanging="284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световая сигнализация положения вводных и секционного автоматических выключателей;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конструктивное исполнение – напольное;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способ обслуживания – одностороннее или двухстороннее обслуживание;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>система заземления в соответствии с проектом – TN-C, TN-C-S;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степень защиты: IP31 или IP54 по ГОСТ 14254-96;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19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>климатическое исполнение и категория размещения – УХЛ</w:t>
      </w:r>
      <w:proofErr w:type="gramStart"/>
      <w:r w:rsidRPr="00350CFC">
        <w:rPr>
          <w:rFonts w:ascii="Times New Roman" w:hAnsi="Times New Roman"/>
          <w:sz w:val="24"/>
          <w:szCs w:val="24"/>
        </w:rPr>
        <w:t>4</w:t>
      </w:r>
      <w:proofErr w:type="gramEnd"/>
      <w:r w:rsidRPr="00350CFC">
        <w:rPr>
          <w:rFonts w:ascii="Times New Roman" w:hAnsi="Times New Roman"/>
          <w:sz w:val="24"/>
          <w:szCs w:val="24"/>
        </w:rPr>
        <w:t xml:space="preserve"> по ГОСТ 15150-69. </w:t>
      </w:r>
    </w:p>
    <w:p w:rsidR="00350CFC" w:rsidRDefault="00350CFC" w:rsidP="00350CFC">
      <w:pPr>
        <w:pStyle w:val="a0"/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</w:p>
    <w:p w:rsidR="00350CFC" w:rsidRPr="00350CFC" w:rsidRDefault="00350CFC" w:rsidP="00350CFC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left="720" w:firstLine="69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Состав (комплектность) ГРЩ</w:t>
      </w:r>
      <w:r w:rsidRPr="00350CFC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20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>Шкаф (шкафы) ввода – ШВ (ШВЛ - левый, ШВП - правый);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20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Шкаф секционный (для исполнения с двумя вводами) – ШС;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20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Шкафы отходящих линий – ШОЛ;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20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Шкафы КРМ (компенсации реактивной мощности) - ШК;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20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Комплект сборных шин; </w:t>
      </w:r>
    </w:p>
    <w:p w:rsidR="00350CFC" w:rsidRPr="00350CFC" w:rsidRDefault="00350CFC" w:rsidP="00350CFC">
      <w:pPr>
        <w:pStyle w:val="a0"/>
        <w:widowControl w:val="0"/>
        <w:numPr>
          <w:ilvl w:val="0"/>
          <w:numId w:val="20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350CFC">
        <w:rPr>
          <w:rFonts w:ascii="Times New Roman" w:hAnsi="Times New Roman"/>
          <w:sz w:val="24"/>
          <w:szCs w:val="24"/>
        </w:rPr>
        <w:t xml:space="preserve">Паспорт, руководство по эксплуатации; </w:t>
      </w:r>
    </w:p>
    <w:p w:rsidR="00350CFC" w:rsidRDefault="00350CFC" w:rsidP="00350CFC">
      <w:pPr>
        <w:pStyle w:val="a0"/>
        <w:widowControl w:val="0"/>
        <w:autoSpaceDE w:val="0"/>
        <w:autoSpaceDN w:val="0"/>
        <w:adjustRightInd w:val="0"/>
        <w:spacing w:after="0" w:line="328" w:lineRule="exact"/>
        <w:rPr>
          <w:rFonts w:ascii="Times New Roman" w:hAnsi="Times New Roman"/>
          <w:sz w:val="24"/>
          <w:szCs w:val="24"/>
        </w:rPr>
      </w:pPr>
    </w:p>
    <w:p w:rsidR="00350CFC" w:rsidRPr="00350CFC" w:rsidRDefault="00350CFC" w:rsidP="00350CFC">
      <w:pPr>
        <w:pStyle w:val="a0"/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  <w:sectPr w:rsidR="00350CFC" w:rsidRPr="00350CFC">
          <w:pgSz w:w="11906" w:h="16838"/>
          <w:pgMar w:top="564" w:right="580" w:bottom="360" w:left="560" w:header="720" w:footer="720" w:gutter="0"/>
          <w:cols w:space="720" w:equalWidth="0">
            <w:col w:w="10760"/>
          </w:cols>
          <w:noEndnote/>
        </w:sectPr>
      </w:pPr>
    </w:p>
    <w:p w:rsidR="000830A0" w:rsidRPr="00350CFC" w:rsidRDefault="000830A0" w:rsidP="00707E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07E8D" w:rsidRPr="007825C6" w:rsidRDefault="00707E8D" w:rsidP="00707E8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Технические данные  </w:t>
      </w:r>
    </w:p>
    <w:p w:rsidR="00B06A38" w:rsidRDefault="00B06A38" w:rsidP="00B06A38">
      <w:pPr>
        <w:widowControl w:val="0"/>
        <w:autoSpaceDE w:val="0"/>
        <w:autoSpaceDN w:val="0"/>
        <w:adjustRightInd w:val="0"/>
        <w:spacing w:after="0" w:line="127" w:lineRule="exact"/>
        <w:rPr>
          <w:rFonts w:ascii="Times New Roman" w:hAnsi="Times New Roman"/>
          <w:sz w:val="24"/>
          <w:szCs w:val="24"/>
        </w:rPr>
      </w:pPr>
    </w:p>
    <w:p w:rsidR="00945E00" w:rsidRDefault="00945E00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945E00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139D"/>
    <w:multiLevelType w:val="hybridMultilevel"/>
    <w:tmpl w:val="00007049"/>
    <w:lvl w:ilvl="0" w:tplc="000069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23C9"/>
    <w:multiLevelType w:val="hybridMultilevel"/>
    <w:tmpl w:val="000048CC"/>
    <w:lvl w:ilvl="0" w:tplc="0000575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4080"/>
    <w:multiLevelType w:val="hybridMultilevel"/>
    <w:tmpl w:val="00005DB2"/>
    <w:lvl w:ilvl="0" w:tplc="000033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4509"/>
    <w:multiLevelType w:val="hybridMultilevel"/>
    <w:tmpl w:val="00001238"/>
    <w:lvl w:ilvl="0" w:tplc="00003B25">
      <w:start w:val="1"/>
      <w:numFmt w:val="bullet"/>
      <w:lvlText w:val="\emdash "/>
      <w:lvlJc w:val="left"/>
      <w:pPr>
        <w:tabs>
          <w:tab w:val="num" w:pos="720"/>
        </w:tabs>
        <w:ind w:left="720" w:hanging="360"/>
      </w:pPr>
    </w:lvl>
    <w:lvl w:ilvl="1" w:tplc="00001E1F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60BF"/>
    <w:multiLevelType w:val="hybridMultilevel"/>
    <w:tmpl w:val="00005C67"/>
    <w:lvl w:ilvl="0" w:tplc="00003C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7121062"/>
    <w:multiLevelType w:val="hybridMultilevel"/>
    <w:tmpl w:val="83A6F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11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9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19"/>
  </w:num>
  <w:num w:numId="4">
    <w:abstractNumId w:val="14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18"/>
  </w:num>
  <w:num w:numId="7">
    <w:abstractNumId w:val="12"/>
  </w:num>
  <w:num w:numId="8">
    <w:abstractNumId w:val="15"/>
  </w:num>
  <w:num w:numId="9">
    <w:abstractNumId w:val="17"/>
  </w:num>
  <w:num w:numId="10">
    <w:abstractNumId w:val="13"/>
  </w:num>
  <w:num w:numId="11">
    <w:abstractNumId w:val="11"/>
  </w:num>
  <w:num w:numId="12">
    <w:abstractNumId w:val="10"/>
  </w:num>
  <w:num w:numId="13">
    <w:abstractNumId w:val="16"/>
  </w:num>
  <w:num w:numId="14">
    <w:abstractNumId w:val="8"/>
  </w:num>
  <w:num w:numId="15">
    <w:abstractNumId w:val="1"/>
  </w:num>
  <w:num w:numId="16">
    <w:abstractNumId w:val="5"/>
  </w:num>
  <w:num w:numId="17">
    <w:abstractNumId w:val="3"/>
  </w:num>
  <w:num w:numId="18">
    <w:abstractNumId w:val="9"/>
  </w:num>
  <w:num w:numId="19">
    <w:abstractNumId w:val="2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4C8B"/>
    <w:rsid w:val="00055D21"/>
    <w:rsid w:val="000830A0"/>
    <w:rsid w:val="000845E9"/>
    <w:rsid w:val="000D0FBB"/>
    <w:rsid w:val="000E3195"/>
    <w:rsid w:val="000E34A6"/>
    <w:rsid w:val="000F7F01"/>
    <w:rsid w:val="001100BF"/>
    <w:rsid w:val="0014558F"/>
    <w:rsid w:val="00166E73"/>
    <w:rsid w:val="0018307A"/>
    <w:rsid w:val="00190C3D"/>
    <w:rsid w:val="00196BDE"/>
    <w:rsid w:val="001C1C0A"/>
    <w:rsid w:val="00203D07"/>
    <w:rsid w:val="00205800"/>
    <w:rsid w:val="00242362"/>
    <w:rsid w:val="002760AC"/>
    <w:rsid w:val="002871E9"/>
    <w:rsid w:val="002D1086"/>
    <w:rsid w:val="00326112"/>
    <w:rsid w:val="003354B6"/>
    <w:rsid w:val="00343F06"/>
    <w:rsid w:val="00350CFC"/>
    <w:rsid w:val="00352345"/>
    <w:rsid w:val="00366F04"/>
    <w:rsid w:val="00394EC4"/>
    <w:rsid w:val="003A2825"/>
    <w:rsid w:val="003C47AB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413CE"/>
    <w:rsid w:val="0065265B"/>
    <w:rsid w:val="006730C5"/>
    <w:rsid w:val="0068490F"/>
    <w:rsid w:val="006C3D02"/>
    <w:rsid w:val="00707E8D"/>
    <w:rsid w:val="0072033D"/>
    <w:rsid w:val="00736E63"/>
    <w:rsid w:val="00744404"/>
    <w:rsid w:val="007522C1"/>
    <w:rsid w:val="007825C6"/>
    <w:rsid w:val="007A2D69"/>
    <w:rsid w:val="00804672"/>
    <w:rsid w:val="008547C2"/>
    <w:rsid w:val="008B2FB6"/>
    <w:rsid w:val="008E426D"/>
    <w:rsid w:val="008F78C4"/>
    <w:rsid w:val="00906D4B"/>
    <w:rsid w:val="009238A0"/>
    <w:rsid w:val="00945E00"/>
    <w:rsid w:val="009518DB"/>
    <w:rsid w:val="0097256A"/>
    <w:rsid w:val="0098533C"/>
    <w:rsid w:val="009D68C5"/>
    <w:rsid w:val="009E43A4"/>
    <w:rsid w:val="009E619F"/>
    <w:rsid w:val="009E7112"/>
    <w:rsid w:val="00A050BC"/>
    <w:rsid w:val="00A11A68"/>
    <w:rsid w:val="00A16C9E"/>
    <w:rsid w:val="00A44374"/>
    <w:rsid w:val="00A81942"/>
    <w:rsid w:val="00A86D84"/>
    <w:rsid w:val="00AC7898"/>
    <w:rsid w:val="00AE6033"/>
    <w:rsid w:val="00B06A38"/>
    <w:rsid w:val="00B579B5"/>
    <w:rsid w:val="00B96F08"/>
    <w:rsid w:val="00BB53A9"/>
    <w:rsid w:val="00BB6D2A"/>
    <w:rsid w:val="00BF2C8C"/>
    <w:rsid w:val="00C034EF"/>
    <w:rsid w:val="00C1788C"/>
    <w:rsid w:val="00C94052"/>
    <w:rsid w:val="00CA08F4"/>
    <w:rsid w:val="00CA46EF"/>
    <w:rsid w:val="00D86A41"/>
    <w:rsid w:val="00D94500"/>
    <w:rsid w:val="00DB58F3"/>
    <w:rsid w:val="00DB5B83"/>
    <w:rsid w:val="00DC51CA"/>
    <w:rsid w:val="00E14889"/>
    <w:rsid w:val="00E86147"/>
    <w:rsid w:val="00EE7CD6"/>
    <w:rsid w:val="00F05B97"/>
    <w:rsid w:val="00F46D64"/>
    <w:rsid w:val="00F86FE2"/>
    <w:rsid w:val="00F96018"/>
    <w:rsid w:val="00FA133F"/>
    <w:rsid w:val="00FC584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5</cp:revision>
  <dcterms:created xsi:type="dcterms:W3CDTF">2019-01-23T07:39:00Z</dcterms:created>
  <dcterms:modified xsi:type="dcterms:W3CDTF">2019-01-23T11:06:00Z</dcterms:modified>
</cp:coreProperties>
</file>